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02" w:rsidRDefault="00630D3A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  <w:r>
        <w:rPr>
          <w:rFonts w:ascii="Times New Roman" w:eastAsia="宋体" w:hAnsi="Times New Roman" w:cs="Times New Roman"/>
          <w:b/>
          <w:bCs/>
          <w:sz w:val="40"/>
          <w:szCs w:val="44"/>
        </w:rPr>
        <w:t>团体标准</w:t>
      </w: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:rsidR="00A97F02" w:rsidRDefault="00630D3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  <w:r>
        <w:rPr>
          <w:rFonts w:ascii="Times New Roman" w:eastAsia="宋体" w:hAnsi="Times New Roman" w:cs="Times New Roman"/>
          <w:b/>
          <w:bCs/>
          <w:sz w:val="40"/>
          <w:szCs w:val="44"/>
        </w:rPr>
        <w:t>《</w:t>
      </w:r>
      <w:r>
        <w:rPr>
          <w:rFonts w:ascii="Times New Roman" w:eastAsia="宋体" w:hAnsi="Times New Roman" w:cs="Times New Roman" w:hint="eastAsia"/>
          <w:b/>
          <w:bCs/>
          <w:sz w:val="40"/>
          <w:szCs w:val="44"/>
        </w:rPr>
        <w:t>摩托车和轻便摩托车号牌板（架）及其位置技术规范</w:t>
      </w:r>
      <w:r>
        <w:rPr>
          <w:rFonts w:ascii="Times New Roman" w:eastAsia="宋体" w:hAnsi="Times New Roman" w:cs="Times New Roman"/>
          <w:b/>
          <w:bCs/>
          <w:sz w:val="40"/>
          <w:szCs w:val="44"/>
        </w:rPr>
        <w:t>》</w:t>
      </w: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:rsidR="00A97F02" w:rsidRDefault="00630D3A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  <w:r>
        <w:rPr>
          <w:rFonts w:ascii="Times New Roman" w:eastAsia="宋体" w:hAnsi="Times New Roman" w:cs="Times New Roman"/>
          <w:b/>
          <w:bCs/>
          <w:sz w:val="40"/>
          <w:szCs w:val="44"/>
        </w:rPr>
        <w:t>编制说明</w:t>
      </w: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40"/>
          <w:szCs w:val="44"/>
        </w:rPr>
      </w:pPr>
    </w:p>
    <w:p w:rsidR="00A97F02" w:rsidRDefault="00630D3A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征求意见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稿）</w:t>
      </w: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A97F02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</w:p>
    <w:p w:rsidR="00A97F02" w:rsidRDefault="00630D3A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中检西部检测有限公司</w:t>
      </w:r>
    </w:p>
    <w:p w:rsidR="00A97F02" w:rsidRDefault="00630D3A">
      <w:pPr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202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5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8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月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br w:type="page"/>
      </w:r>
    </w:p>
    <w:p w:rsidR="00A97F02" w:rsidRDefault="00630D3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摩托车和轻便摩托车号牌板（架）及其位置技术规范</w:t>
      </w:r>
    </w:p>
    <w:p w:rsidR="00A97F02" w:rsidRDefault="00630D3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b/>
          <w:sz w:val="30"/>
          <w:szCs w:val="30"/>
        </w:rPr>
        <w:t>（征求意见稿）</w:t>
      </w:r>
    </w:p>
    <w:p w:rsidR="00A97F02" w:rsidRDefault="00630D3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b/>
          <w:sz w:val="30"/>
          <w:szCs w:val="30"/>
        </w:rPr>
        <w:t>编制说明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工作简况</w:t>
      </w:r>
    </w:p>
    <w:p w:rsidR="00A97F02" w:rsidRDefault="00630D3A">
      <w:pPr>
        <w:pStyle w:val="af3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任务来源</w:t>
      </w:r>
    </w:p>
    <w:p w:rsidR="00A97F02" w:rsidRDefault="00630D3A">
      <w:pPr>
        <w:pStyle w:val="af3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本标准任务来源于中国摩托车商会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日下发的中国摩托车商会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关于</w:t>
      </w:r>
      <w:r>
        <w:rPr>
          <w:rFonts w:ascii="Times New Roman" w:eastAsia="宋体" w:hAnsi="Times New Roman" w:cs="Times New Roman" w:hint="eastAsia"/>
          <w:sz w:val="24"/>
          <w:szCs w:val="24"/>
        </w:rPr>
        <w:t>下达团体标准制修订计划的通知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，计划编号</w:t>
      </w:r>
      <w:r>
        <w:rPr>
          <w:rFonts w:ascii="Times New Roman" w:eastAsia="宋体" w:hAnsi="Times New Roman" w:cs="Times New Roman" w:hint="eastAsia"/>
          <w:sz w:val="24"/>
          <w:szCs w:val="24"/>
        </w:rPr>
        <w:t>为“中摩商通〔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〕</w:t>
      </w:r>
      <w:r>
        <w:rPr>
          <w:rFonts w:ascii="Times New Roman" w:eastAsia="宋体" w:hAnsi="Times New Roman" w:cs="Times New Roman" w:hint="eastAsia"/>
          <w:sz w:val="24"/>
          <w:szCs w:val="24"/>
        </w:rPr>
        <w:t>34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号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本标准承担单位为</w:t>
      </w:r>
      <w:r>
        <w:rPr>
          <w:rFonts w:ascii="Times New Roman" w:eastAsia="宋体" w:hAnsi="Times New Roman" w:cs="Times New Roman" w:hint="eastAsia"/>
          <w:sz w:val="24"/>
          <w:szCs w:val="24"/>
        </w:rPr>
        <w:t>中检西部检测有限公司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>参加</w:t>
      </w:r>
      <w:r>
        <w:rPr>
          <w:rFonts w:ascii="Times New Roman" w:eastAsia="宋体" w:hAnsi="Times New Roman" w:cs="Times New Roman"/>
          <w:sz w:val="24"/>
          <w:szCs w:val="24"/>
        </w:rPr>
        <w:t>单位</w:t>
      </w:r>
      <w:r>
        <w:rPr>
          <w:rFonts w:ascii="Times New Roman" w:eastAsia="宋体" w:hAnsi="Times New Roman" w:cs="Times New Roman" w:hint="eastAsia"/>
          <w:sz w:val="24"/>
          <w:szCs w:val="24"/>
        </w:rPr>
        <w:t>包括浙江钱江摩托股份有限公司、宗申产业集团有限公司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洛阳北方易初摩托车有限公司等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标准制定背景</w:t>
      </w:r>
    </w:p>
    <w:p w:rsidR="00A97F02" w:rsidRDefault="00630D3A">
      <w:pPr>
        <w:pStyle w:val="af3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我国摩托车保有量居全球首位，但长期以来缺乏针对摩托车号牌板（架）及其位置的统一标准，导致产品设计多样、安装不规范，影响号牌识别和交通安全。《</w:t>
      </w:r>
      <w:r>
        <w:rPr>
          <w:rFonts w:ascii="Times New Roman" w:eastAsia="宋体" w:hAnsi="Times New Roman" w:cs="Times New Roman"/>
          <w:sz w:val="24"/>
          <w:szCs w:val="24"/>
        </w:rPr>
        <w:t>GA 36</w:t>
      </w:r>
      <w:r>
        <w:rPr>
          <w:rFonts w:ascii="Times New Roman" w:eastAsia="宋体" w:hAnsi="Times New Roman" w:cs="Times New Roman"/>
          <w:sz w:val="24"/>
          <w:szCs w:val="24"/>
        </w:rPr>
        <w:t>中华人民共和国机动车号牌》虽规定了号牌式样，但对摩托车号牌板（架）的具体技术要求和安装位置未作细化。欧盟</w:t>
      </w:r>
      <w:r>
        <w:rPr>
          <w:rFonts w:ascii="Times New Roman" w:eastAsia="宋体" w:hAnsi="Times New Roman" w:cs="Times New Roman"/>
          <w:sz w:val="24"/>
          <w:szCs w:val="24"/>
        </w:rPr>
        <w:t>EU 44-2014</w:t>
      </w:r>
      <w:r>
        <w:rPr>
          <w:rFonts w:ascii="Times New Roman" w:eastAsia="宋体" w:hAnsi="Times New Roman" w:cs="Times New Roman"/>
          <w:sz w:val="24"/>
          <w:szCs w:val="24"/>
        </w:rPr>
        <w:t>等国际标准虽对号牌安装提出要求，但国内亟需结合国情制定针对性规范。本标准的制定旨在填补空白，推动行业规范化发展。</w:t>
      </w:r>
    </w:p>
    <w:p w:rsidR="00A97F02" w:rsidRDefault="00630D3A">
      <w:pPr>
        <w:pStyle w:val="af3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工作过程</w:t>
      </w:r>
    </w:p>
    <w:p w:rsidR="00A97F02" w:rsidRDefault="00630D3A">
      <w:pPr>
        <w:pStyle w:val="af3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标准编制任务下达</w:t>
      </w:r>
      <w:r>
        <w:rPr>
          <w:rFonts w:ascii="Times New Roman" w:eastAsia="宋体" w:hAnsi="Times New Roman" w:cs="Times New Roman"/>
          <w:sz w:val="24"/>
          <w:szCs w:val="24"/>
        </w:rPr>
        <w:t>后，</w:t>
      </w:r>
      <w:r>
        <w:rPr>
          <w:rFonts w:ascii="Times New Roman" w:eastAsia="宋体" w:hAnsi="Times New Roman" w:cs="Times New Roman" w:hint="eastAsia"/>
          <w:sz w:val="24"/>
          <w:szCs w:val="24"/>
        </w:rPr>
        <w:t>中检西部检测有限公司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召集相关单位</w:t>
      </w:r>
      <w:r>
        <w:rPr>
          <w:rFonts w:ascii="Times New Roman" w:eastAsia="宋体" w:hAnsi="Times New Roman" w:cs="Times New Roman"/>
          <w:sz w:val="24"/>
          <w:szCs w:val="24"/>
        </w:rPr>
        <w:t>成立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>
        <w:rPr>
          <w:rFonts w:ascii="Times New Roman" w:eastAsia="宋体" w:hAnsi="Times New Roman" w:cs="Times New Roman"/>
          <w:sz w:val="24"/>
          <w:szCs w:val="24"/>
        </w:rPr>
        <w:t>编制组，对</w:t>
      </w:r>
      <w:r>
        <w:rPr>
          <w:rFonts w:ascii="Times New Roman" w:eastAsia="宋体" w:hAnsi="Times New Roman" w:cs="Times New Roman" w:hint="eastAsia"/>
          <w:sz w:val="24"/>
          <w:szCs w:val="24"/>
        </w:rPr>
        <w:t>相关的国际法规和国内标准进行调研，</w:t>
      </w:r>
      <w:r>
        <w:rPr>
          <w:rFonts w:ascii="Times New Roman" w:eastAsia="宋体" w:hAnsi="Times New Roman" w:cs="Times New Roman"/>
          <w:sz w:val="24"/>
          <w:szCs w:val="24"/>
        </w:rPr>
        <w:t>组织召开多次工作会议和技术交流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并在工作组内部开展技术验证工作，为标准起草工作打下了坚实基础。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月根据前一阶段研究和验证情况完成了标准修订草案，并在工作组内部开展了多轮意见征集与讨论，于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月形成了标准征求意见稿。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标准编制原则和主要技术内容</w:t>
      </w:r>
    </w:p>
    <w:p w:rsidR="00A97F02" w:rsidRDefault="00630D3A">
      <w:pPr>
        <w:pStyle w:val="af3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标准编制原则</w:t>
      </w:r>
    </w:p>
    <w:p w:rsidR="00A97F02" w:rsidRDefault="00630D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本标准根据《中国摩托车商会团体标准管理办法》，并按照</w:t>
      </w:r>
      <w:r>
        <w:rPr>
          <w:rFonts w:ascii="Times New Roman" w:eastAsia="宋体" w:hAnsi="Times New Roman" w:cs="Times New Roman"/>
          <w:sz w:val="24"/>
          <w:szCs w:val="24"/>
        </w:rPr>
        <w:t xml:space="preserve"> GB/T 1.1-2020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部分标准化文件的结构和起草规则》规定的格式编写。</w:t>
      </w:r>
    </w:p>
    <w:p w:rsidR="00A97F02" w:rsidRDefault="00630D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本标准的编制，参考吸收了已有国内外相关标准，并结合行业发展趋势，完善了摩托车</w:t>
      </w:r>
      <w:r>
        <w:rPr>
          <w:rFonts w:ascii="Times New Roman" w:eastAsia="宋体" w:hAnsi="Times New Roman" w:cs="Times New Roman" w:hint="eastAsia"/>
          <w:sz w:val="24"/>
          <w:szCs w:val="24"/>
        </w:rPr>
        <w:t>和轻便摩托车号牌板（架）及其位置的</w:t>
      </w:r>
      <w:r>
        <w:rPr>
          <w:rFonts w:ascii="Times New Roman" w:eastAsia="宋体" w:hAnsi="Times New Roman" w:cs="Times New Roman" w:hint="eastAsia"/>
          <w:sz w:val="24"/>
          <w:szCs w:val="24"/>
        </w:rPr>
        <w:t>相关技术要求。</w:t>
      </w:r>
    </w:p>
    <w:p w:rsidR="00A97F02" w:rsidRDefault="00630D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本标准主要定义了</w:t>
      </w:r>
      <w:r>
        <w:rPr>
          <w:rFonts w:ascii="Times New Roman" w:eastAsia="宋体" w:hAnsi="Times New Roman" w:cs="Times New Roman" w:hint="eastAsia"/>
          <w:sz w:val="24"/>
          <w:szCs w:val="24"/>
        </w:rPr>
        <w:t>摩托车和轻便摩托车号牌板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及其位置</w:t>
      </w:r>
      <w:r>
        <w:rPr>
          <w:rFonts w:ascii="Times New Roman" w:eastAsia="宋体" w:hAnsi="Times New Roman" w:cs="Times New Roman" w:hint="eastAsia"/>
          <w:sz w:val="24"/>
          <w:szCs w:val="24"/>
        </w:rPr>
        <w:t>的术语和定义、</w:t>
      </w:r>
      <w:r>
        <w:rPr>
          <w:rFonts w:ascii="Times New Roman" w:eastAsia="宋体" w:hAnsi="Times New Roman" w:cs="Times New Roman"/>
          <w:sz w:val="24"/>
          <w:szCs w:val="24"/>
        </w:rPr>
        <w:t>技术</w:t>
      </w:r>
      <w:r>
        <w:rPr>
          <w:rFonts w:ascii="Times New Roman" w:eastAsia="宋体" w:hAnsi="Times New Roman" w:cs="Times New Roman" w:hint="eastAsia"/>
          <w:sz w:val="24"/>
          <w:szCs w:val="24"/>
        </w:rPr>
        <w:t>要求</w:t>
      </w:r>
      <w:r>
        <w:rPr>
          <w:rFonts w:ascii="Times New Roman" w:eastAsia="宋体" w:hAnsi="Times New Roman" w:cs="Times New Roman"/>
          <w:sz w:val="24"/>
          <w:szCs w:val="24"/>
        </w:rPr>
        <w:t>、试验</w:t>
      </w:r>
      <w:r>
        <w:rPr>
          <w:rFonts w:ascii="Times New Roman" w:eastAsia="宋体" w:hAnsi="Times New Roman" w:cs="Times New Roman" w:hint="eastAsia"/>
          <w:sz w:val="24"/>
          <w:szCs w:val="24"/>
        </w:rPr>
        <w:t>方法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技术内容</w:t>
      </w:r>
      <w:r>
        <w:rPr>
          <w:rFonts w:ascii="Times New Roman" w:eastAsia="宋体" w:hAnsi="Times New Roman" w:cs="Times New Roman" w:hint="eastAsia"/>
          <w:sz w:val="24"/>
          <w:szCs w:val="24"/>
        </w:rPr>
        <w:t>主要以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GA 36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、《</w:t>
      </w:r>
      <w:r>
        <w:rPr>
          <w:rFonts w:ascii="Times New Roman" w:eastAsia="宋体" w:hAnsi="Times New Roman" w:cs="Times New Roman" w:hint="eastAsia"/>
          <w:sz w:val="24"/>
          <w:szCs w:val="24"/>
        </w:rPr>
        <w:t>GB 7258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/>
          <w:sz w:val="24"/>
          <w:szCs w:val="24"/>
        </w:rPr>
        <w:t>和欧盟</w:t>
      </w:r>
      <w:r>
        <w:rPr>
          <w:rFonts w:ascii="Times New Roman" w:eastAsia="宋体" w:hAnsi="Times New Roman" w:cs="Times New Roman"/>
          <w:sz w:val="24"/>
          <w:szCs w:val="24"/>
        </w:rPr>
        <w:t xml:space="preserve">(EU) No </w:t>
      </w:r>
      <w:r>
        <w:rPr>
          <w:rFonts w:ascii="Times New Roman" w:eastAsia="宋体" w:hAnsi="Times New Roman" w:cs="Times New Roman" w:hint="eastAsia"/>
          <w:sz w:val="24"/>
          <w:szCs w:val="24"/>
        </w:rPr>
        <w:t>44</w:t>
      </w:r>
      <w:r>
        <w:rPr>
          <w:rFonts w:ascii="Times New Roman" w:eastAsia="宋体" w:hAnsi="Times New Roman" w:cs="Times New Roman"/>
          <w:sz w:val="24"/>
          <w:szCs w:val="24"/>
        </w:rPr>
        <w:t>/2014 Annex XIV</w:t>
      </w:r>
      <w:r>
        <w:rPr>
          <w:rFonts w:ascii="Times New Roman" w:eastAsia="宋体" w:hAnsi="Times New Roman" w:cs="Times New Roman"/>
          <w:sz w:val="24"/>
          <w:szCs w:val="24"/>
        </w:rPr>
        <w:t>为基础</w:t>
      </w:r>
      <w:r>
        <w:rPr>
          <w:rFonts w:ascii="Times New Roman" w:eastAsia="宋体" w:hAnsi="Times New Roman" w:cs="Times New Roman"/>
          <w:sz w:val="24"/>
          <w:szCs w:val="24"/>
        </w:rPr>
        <w:t>，结合国内摩托车设计特点优化技术指标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注重可操作性，明确号牌板（架）的形状、位置、强度等要求。</w:t>
      </w:r>
    </w:p>
    <w:p w:rsidR="00A97F02" w:rsidRDefault="00630D3A">
      <w:pPr>
        <w:pStyle w:val="af3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适用范围</w:t>
      </w:r>
    </w:p>
    <w:p w:rsidR="00A97F02" w:rsidRDefault="00630D3A">
      <w:pPr>
        <w:pStyle w:val="af3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本文件规定了</w:t>
      </w:r>
      <w:r>
        <w:rPr>
          <w:rFonts w:ascii="Times New Roman" w:eastAsia="宋体" w:hAnsi="Times New Roman" w:cs="Times New Roman" w:hint="eastAsia"/>
          <w:sz w:val="24"/>
          <w:szCs w:val="24"/>
        </w:rPr>
        <w:t>摩托车和轻便摩</w:t>
      </w:r>
      <w:r>
        <w:rPr>
          <w:rFonts w:ascii="Times New Roman" w:eastAsia="宋体" w:hAnsi="Times New Roman" w:cs="Times New Roman" w:hint="eastAsia"/>
          <w:sz w:val="24"/>
          <w:szCs w:val="24"/>
        </w:rPr>
        <w:t>托车号牌板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及其位置的技术</w:t>
      </w:r>
      <w:r>
        <w:rPr>
          <w:rFonts w:ascii="Times New Roman" w:eastAsia="宋体" w:hAnsi="Times New Roman" w:cs="Times New Roman" w:hint="eastAsia"/>
          <w:sz w:val="24"/>
          <w:szCs w:val="24"/>
        </w:rPr>
        <w:t>要求和试验方法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本文件适用于摩托车和轻便摩托车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标准总体框架</w:t>
      </w:r>
    </w:p>
    <w:p w:rsidR="00A97F02" w:rsidRDefault="00630D3A">
      <w:pPr>
        <w:pStyle w:val="af3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</w:t>
      </w:r>
      <w:r>
        <w:rPr>
          <w:rFonts w:ascii="Times New Roman" w:eastAsia="宋体" w:hAnsi="Times New Roman" w:cs="Times New Roman"/>
          <w:sz w:val="24"/>
          <w:szCs w:val="24"/>
        </w:rPr>
        <w:t>标准包括</w:t>
      </w:r>
      <w:r>
        <w:rPr>
          <w:rFonts w:ascii="Times New Roman" w:eastAsia="宋体" w:hAnsi="Times New Roman" w:cs="Times New Roman" w:hint="eastAsia"/>
          <w:sz w:val="24"/>
          <w:szCs w:val="24"/>
        </w:rPr>
        <w:t>摩托车和轻便摩托车号牌板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及其位置</w:t>
      </w:r>
      <w:r>
        <w:rPr>
          <w:rFonts w:ascii="Times New Roman" w:eastAsia="宋体" w:hAnsi="Times New Roman" w:cs="Times New Roman"/>
          <w:sz w:val="24"/>
          <w:szCs w:val="24"/>
        </w:rPr>
        <w:t>术语和定义、技术要求、试验</w:t>
      </w:r>
      <w:r>
        <w:rPr>
          <w:rFonts w:ascii="Times New Roman" w:eastAsia="宋体" w:hAnsi="Times New Roman" w:cs="Times New Roman" w:hint="eastAsia"/>
          <w:sz w:val="24"/>
          <w:szCs w:val="24"/>
        </w:rPr>
        <w:t>方法</w:t>
      </w:r>
      <w:r>
        <w:rPr>
          <w:rFonts w:ascii="Times New Roman" w:eastAsia="宋体" w:hAnsi="Times New Roman" w:cs="Times New Roman"/>
          <w:sz w:val="24"/>
          <w:szCs w:val="24"/>
        </w:rPr>
        <w:t>等相关内容。</w:t>
      </w:r>
    </w:p>
    <w:p w:rsidR="00A97F02" w:rsidRDefault="00630D3A">
      <w:pPr>
        <w:pStyle w:val="af3"/>
        <w:numPr>
          <w:ilvl w:val="1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试验循环过程</w:t>
      </w:r>
    </w:p>
    <w:p w:rsidR="00A97F02" w:rsidRDefault="00630D3A">
      <w:pPr>
        <w:pStyle w:val="af3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本标准基于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GA 36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、《</w:t>
      </w:r>
      <w:r>
        <w:rPr>
          <w:rFonts w:ascii="Times New Roman" w:eastAsia="宋体" w:hAnsi="Times New Roman" w:cs="Times New Roman" w:hint="eastAsia"/>
          <w:sz w:val="24"/>
          <w:szCs w:val="24"/>
        </w:rPr>
        <w:t>GB 7258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/>
          <w:sz w:val="24"/>
          <w:szCs w:val="24"/>
        </w:rPr>
        <w:t>和欧盟</w:t>
      </w:r>
      <w:r>
        <w:rPr>
          <w:rFonts w:ascii="Times New Roman" w:eastAsia="宋体" w:hAnsi="Times New Roman" w:cs="Times New Roman"/>
          <w:sz w:val="24"/>
          <w:szCs w:val="24"/>
        </w:rPr>
        <w:t xml:space="preserve">(EU) No </w:t>
      </w:r>
      <w:r>
        <w:rPr>
          <w:rFonts w:ascii="Times New Roman" w:eastAsia="宋体" w:hAnsi="Times New Roman" w:cs="Times New Roman" w:hint="eastAsia"/>
          <w:sz w:val="24"/>
          <w:szCs w:val="24"/>
        </w:rPr>
        <w:t>44</w:t>
      </w:r>
      <w:r>
        <w:rPr>
          <w:rFonts w:ascii="Times New Roman" w:eastAsia="宋体" w:hAnsi="Times New Roman" w:cs="Times New Roman"/>
          <w:sz w:val="24"/>
          <w:szCs w:val="24"/>
        </w:rPr>
        <w:t>/2014 Annex XIV</w:t>
      </w:r>
      <w:r>
        <w:rPr>
          <w:rFonts w:ascii="Times New Roman" w:eastAsia="宋体" w:hAnsi="Times New Roman" w:cs="Times New Roman" w:hint="eastAsia"/>
          <w:sz w:val="24"/>
          <w:szCs w:val="24"/>
        </w:rPr>
        <w:t>，规定了多方面的技术要求和</w:t>
      </w:r>
      <w:r>
        <w:rPr>
          <w:rFonts w:ascii="Times New Roman" w:eastAsia="宋体" w:hAnsi="Times New Roman" w:cs="Times New Roman" w:hint="eastAsia"/>
          <w:sz w:val="24"/>
          <w:szCs w:val="24"/>
        </w:rPr>
        <w:t>试验</w:t>
      </w:r>
      <w:r>
        <w:rPr>
          <w:rFonts w:ascii="Times New Roman" w:eastAsia="宋体" w:hAnsi="Times New Roman" w:cs="Times New Roman" w:hint="eastAsia"/>
          <w:sz w:val="24"/>
          <w:szCs w:val="24"/>
        </w:rPr>
        <w:t>方法，主要对</w:t>
      </w:r>
      <w:r>
        <w:rPr>
          <w:rFonts w:ascii="Times New Roman" w:eastAsia="宋体" w:hAnsi="Times New Roman" w:cs="Times New Roman" w:hint="eastAsia"/>
          <w:sz w:val="24"/>
          <w:szCs w:val="24"/>
        </w:rPr>
        <w:t>摩托车和轻便摩托车号牌板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及其位置安装、可视范围</w:t>
      </w:r>
      <w:r>
        <w:rPr>
          <w:rFonts w:ascii="Times New Roman" w:eastAsia="宋体" w:hAnsi="Times New Roman" w:cs="Times New Roman" w:hint="eastAsia"/>
          <w:sz w:val="24"/>
          <w:szCs w:val="24"/>
        </w:rPr>
        <w:t>等方面提出了要求和试验方法。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主要试验（或）验证情况分析</w:t>
      </w:r>
    </w:p>
    <w:p w:rsidR="00A97F02" w:rsidRDefault="00630D3A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标准编制过程中，</w:t>
      </w:r>
      <w:r>
        <w:rPr>
          <w:rFonts w:ascii="Times New Roman" w:eastAsia="宋体" w:hAnsi="Times New Roman" w:cs="Times New Roman" w:hint="eastAsia"/>
          <w:sz w:val="24"/>
          <w:szCs w:val="24"/>
        </w:rPr>
        <w:t>中检西部检测有限公司</w:t>
      </w:r>
      <w:r>
        <w:rPr>
          <w:rFonts w:ascii="Times New Roman" w:eastAsia="宋体" w:hAnsi="Times New Roman" w:cs="Times New Roman"/>
          <w:sz w:val="24"/>
          <w:szCs w:val="24"/>
        </w:rPr>
        <w:t>组织各单位开展了大量验证和分析工作，主要包括：</w:t>
      </w:r>
    </w:p>
    <w:p w:rsidR="00A97F02" w:rsidRDefault="00630D3A">
      <w:pPr>
        <w:pStyle w:val="af3"/>
        <w:numPr>
          <w:ilvl w:val="0"/>
          <w:numId w:val="2"/>
        </w:numPr>
        <w:spacing w:line="360" w:lineRule="auto"/>
        <w:ind w:left="420" w:firstLineChars="0" w:firstLine="6"/>
        <w:jc w:val="left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sz w:val="24"/>
          <w:szCs w:val="24"/>
        </w:rPr>
        <w:t>选择典型车型开展了试验规程研究和</w:t>
      </w:r>
      <w:r>
        <w:rPr>
          <w:rFonts w:ascii="Times New Roman" w:eastAsia="宋体" w:hAnsi="Times New Roman" w:cs="Times New Roman" w:hint="eastAsia"/>
          <w:sz w:val="24"/>
          <w:szCs w:val="24"/>
        </w:rPr>
        <w:t>试验</w:t>
      </w:r>
      <w:r>
        <w:rPr>
          <w:rFonts w:ascii="Times New Roman" w:eastAsia="宋体" w:hAnsi="Times New Roman" w:cs="Times New Roman"/>
          <w:sz w:val="24"/>
          <w:szCs w:val="24"/>
        </w:rPr>
        <w:t>验证；</w:t>
      </w:r>
    </w:p>
    <w:p w:rsidR="00A97F02" w:rsidRDefault="00630D3A">
      <w:pPr>
        <w:pStyle w:val="af3"/>
        <w:numPr>
          <w:ilvl w:val="0"/>
          <w:numId w:val="2"/>
        </w:numPr>
        <w:spacing w:line="360" w:lineRule="auto"/>
        <w:ind w:left="420" w:firstLineChars="0" w:firstLine="6"/>
        <w:jc w:val="left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sz w:val="24"/>
          <w:szCs w:val="24"/>
        </w:rPr>
        <w:t>组织工作单位开展</w:t>
      </w:r>
      <w:r>
        <w:rPr>
          <w:rFonts w:ascii="Times New Roman" w:eastAsia="宋体" w:hAnsi="Times New Roman" w:cs="Times New Roman" w:hint="eastAsia"/>
          <w:sz w:val="24"/>
          <w:szCs w:val="24"/>
        </w:rPr>
        <w:t>摩托车和轻便摩托车号牌板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及其位置安装、可视范围试验</w:t>
      </w:r>
      <w:r>
        <w:rPr>
          <w:rFonts w:ascii="Times New Roman" w:eastAsia="宋体" w:hAnsi="Times New Roman" w:cs="Times New Roman" w:hint="eastAsia"/>
          <w:sz w:val="24"/>
          <w:szCs w:val="24"/>
        </w:rPr>
        <w:t>验证工作；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标准中是否涉及专利情况说明</w:t>
      </w:r>
    </w:p>
    <w:p w:rsidR="00A97F02" w:rsidRDefault="00630D3A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本标准不涉及具体专利结构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预期达到的社会效益、对产业发展的作用等情况</w:t>
      </w:r>
    </w:p>
    <w:p w:rsidR="00A97F02" w:rsidRDefault="00630D3A">
      <w:pPr>
        <w:pStyle w:val="af3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</w:t>
      </w:r>
      <w:r>
        <w:rPr>
          <w:rFonts w:ascii="Times New Roman" w:eastAsia="宋体" w:hAnsi="Times New Roman" w:cs="Times New Roman"/>
          <w:sz w:val="24"/>
          <w:szCs w:val="24"/>
        </w:rPr>
        <w:t>标准是摩托车行业首次制定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sz w:val="24"/>
          <w:szCs w:val="24"/>
        </w:rPr>
        <w:t>摩托车和轻便摩托车号牌板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及其位置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标准。通过</w:t>
      </w:r>
      <w:r>
        <w:rPr>
          <w:rFonts w:ascii="Times New Roman" w:eastAsia="宋体" w:hAnsi="Times New Roman" w:cs="Times New Roman" w:hint="eastAsia"/>
          <w:sz w:val="24"/>
          <w:szCs w:val="24"/>
        </w:rPr>
        <w:t>本</w:t>
      </w:r>
      <w:r>
        <w:rPr>
          <w:rFonts w:ascii="Times New Roman" w:eastAsia="宋体" w:hAnsi="Times New Roman" w:cs="Times New Roman"/>
          <w:sz w:val="24"/>
          <w:szCs w:val="24"/>
        </w:rPr>
        <w:t>标准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制定，</w:t>
      </w:r>
      <w:r>
        <w:rPr>
          <w:rFonts w:ascii="Times New Roman" w:eastAsia="宋体" w:hAnsi="Times New Roman" w:cs="Times New Roman" w:hint="eastAsia"/>
          <w:sz w:val="24"/>
          <w:szCs w:val="24"/>
        </w:rPr>
        <w:t>有利于摩托车行业的整体发展和进步，</w:t>
      </w:r>
      <w:r>
        <w:rPr>
          <w:rFonts w:ascii="Times New Roman" w:eastAsia="宋体" w:hAnsi="Times New Roman" w:cs="Times New Roman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sz w:val="24"/>
          <w:szCs w:val="24"/>
        </w:rPr>
        <w:t>企业设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计和生产号牌板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>提供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>
        <w:rPr>
          <w:rFonts w:ascii="Times New Roman" w:eastAsia="宋体" w:hAnsi="Times New Roman" w:cs="Times New Roman"/>
          <w:sz w:val="24"/>
          <w:szCs w:val="24"/>
        </w:rPr>
        <w:t>依据及方法。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采用国际标准和国外先进标准情况</w:t>
      </w:r>
    </w:p>
    <w:p w:rsidR="00A97F02" w:rsidRDefault="00630D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本标准参照欧洲标准</w:t>
      </w:r>
      <w:r>
        <w:rPr>
          <w:rFonts w:ascii="Times New Roman" w:eastAsia="宋体" w:hAnsi="Times New Roman" w:cs="Times New Roman"/>
          <w:sz w:val="24"/>
          <w:szCs w:val="24"/>
        </w:rPr>
        <w:t xml:space="preserve">(EU) No </w:t>
      </w:r>
      <w:r>
        <w:rPr>
          <w:rFonts w:ascii="Times New Roman" w:eastAsia="宋体" w:hAnsi="Times New Roman" w:cs="Times New Roman" w:hint="eastAsia"/>
          <w:sz w:val="24"/>
          <w:szCs w:val="24"/>
        </w:rPr>
        <w:t>44</w:t>
      </w:r>
      <w:r>
        <w:rPr>
          <w:rFonts w:ascii="Times New Roman" w:eastAsia="宋体" w:hAnsi="Times New Roman" w:cs="Times New Roman"/>
          <w:sz w:val="24"/>
          <w:szCs w:val="24"/>
        </w:rPr>
        <w:t>/2014</w:t>
      </w:r>
      <w:r>
        <w:rPr>
          <w:rFonts w:ascii="Times New Roman" w:eastAsia="宋体" w:hAnsi="Times New Roman" w:cs="Times New Roman" w:hint="eastAsia"/>
          <w:sz w:val="24"/>
          <w:szCs w:val="24"/>
        </w:rPr>
        <w:t>Annex XIV</w:t>
      </w:r>
      <w:r>
        <w:rPr>
          <w:rFonts w:ascii="Times New Roman" w:eastAsia="宋体" w:hAnsi="Times New Roman" w:cs="Times New Roman"/>
          <w:sz w:val="24"/>
          <w:szCs w:val="24"/>
        </w:rPr>
        <w:t>的部分技术内容</w:t>
      </w:r>
      <w:r>
        <w:rPr>
          <w:rFonts w:ascii="Times New Roman" w:eastAsia="宋体" w:hAnsi="Times New Roman" w:cs="Times New Roman" w:hint="eastAsia"/>
          <w:sz w:val="24"/>
          <w:szCs w:val="24"/>
        </w:rPr>
        <w:t>，并根据行业技术发展实际情况进行了适当修改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在标准体系中的位置，与现行相关法律、法规、规章及相关标准，特别是强制性标准的协调性。</w:t>
      </w:r>
    </w:p>
    <w:p w:rsidR="00A97F02" w:rsidRDefault="00630D3A">
      <w:pPr>
        <w:pStyle w:val="af3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本标准是我国</w:t>
      </w:r>
      <w:r>
        <w:rPr>
          <w:rFonts w:ascii="Times New Roman" w:eastAsia="宋体" w:hAnsi="Times New Roman" w:cs="Times New Roman" w:hint="eastAsia"/>
          <w:sz w:val="24"/>
          <w:szCs w:val="24"/>
        </w:rPr>
        <w:t>摩托车和轻便摩托车号牌板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架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及其位置</w:t>
      </w:r>
      <w:r>
        <w:rPr>
          <w:rFonts w:ascii="Times New Roman" w:eastAsia="宋体" w:hAnsi="Times New Roman" w:cs="Times New Roman" w:hint="eastAsia"/>
          <w:sz w:val="24"/>
          <w:szCs w:val="24"/>
        </w:rPr>
        <w:t>的新</w:t>
      </w:r>
      <w:r>
        <w:rPr>
          <w:rFonts w:ascii="Times New Roman" w:eastAsia="宋体" w:hAnsi="Times New Roman" w:cs="Times New Roman"/>
          <w:sz w:val="24"/>
          <w:szCs w:val="24"/>
        </w:rPr>
        <w:t>团体标准</w:t>
      </w:r>
      <w:r>
        <w:rPr>
          <w:rFonts w:ascii="Times New Roman" w:eastAsia="宋体" w:hAnsi="Times New Roman" w:cs="Times New Roman" w:hint="eastAsia"/>
          <w:sz w:val="24"/>
          <w:szCs w:val="24"/>
        </w:rPr>
        <w:t>，国内尚无相关的标准，摩托车和轻便摩托车</w:t>
      </w:r>
      <w:r>
        <w:rPr>
          <w:rFonts w:ascii="Times New Roman" w:eastAsia="宋体" w:hAnsi="Times New Roman" w:cs="Times New Roman"/>
          <w:sz w:val="24"/>
          <w:szCs w:val="24"/>
        </w:rPr>
        <w:t>可依据本标准进行试验</w:t>
      </w:r>
      <w:r>
        <w:rPr>
          <w:rFonts w:ascii="Times New Roman" w:eastAsia="宋体" w:hAnsi="Times New Roman" w:cs="Times New Roman" w:hint="eastAsia"/>
          <w:sz w:val="24"/>
          <w:szCs w:val="24"/>
        </w:rPr>
        <w:t>检测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本标准符合国家有关法律、法规和相关强制性标准的要求，与现行的国家标准、行业标准相协调。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重大分歧意见的处理过程和依据</w:t>
      </w:r>
    </w:p>
    <w:p w:rsidR="00A97F02" w:rsidRDefault="00630D3A">
      <w:pPr>
        <w:pStyle w:val="af3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本标准修订过程中无重大分歧。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标准性质的建议说明</w:t>
      </w:r>
    </w:p>
    <w:p w:rsidR="00A97F02" w:rsidRDefault="00630D3A">
      <w:pPr>
        <w:pStyle w:val="af3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</w:t>
      </w:r>
      <w:r>
        <w:rPr>
          <w:rFonts w:ascii="Times New Roman" w:eastAsia="宋体" w:hAnsi="Times New Roman" w:cs="Times New Roman" w:hint="eastAsia"/>
          <w:sz w:val="24"/>
          <w:szCs w:val="24"/>
        </w:rPr>
        <w:t>标准为中国摩托车商会团体标准，供商会内摩托车生产企业或相关气门生产企业使用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贯彻标准的要求和措施建议</w:t>
      </w:r>
    </w:p>
    <w:p w:rsidR="00A97F02" w:rsidRDefault="00630D3A">
      <w:pPr>
        <w:pStyle w:val="af3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本标准实施后，建议在商会内摩托车生产企业及</w:t>
      </w:r>
      <w:r>
        <w:rPr>
          <w:rFonts w:ascii="Times New Roman" w:eastAsia="宋体" w:hAnsi="Times New Roman" w:cs="Times New Roman" w:hint="eastAsia"/>
          <w:sz w:val="24"/>
          <w:szCs w:val="24"/>
        </w:rPr>
        <w:t>号牌板（架）</w:t>
      </w:r>
      <w:r>
        <w:rPr>
          <w:rFonts w:ascii="Times New Roman" w:eastAsia="宋体" w:hAnsi="Times New Roman" w:cs="Times New Roman" w:hint="eastAsia"/>
          <w:sz w:val="24"/>
          <w:szCs w:val="24"/>
        </w:rPr>
        <w:t>生产企业宣贯执行。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废止现行相关标准的建议</w:t>
      </w:r>
    </w:p>
    <w:p w:rsidR="00A97F02" w:rsidRDefault="00630D3A">
      <w:pPr>
        <w:pStyle w:val="af3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无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A97F02" w:rsidRDefault="00630D3A">
      <w:pPr>
        <w:pStyle w:val="af3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其它应予说明的事项</w:t>
      </w:r>
    </w:p>
    <w:p w:rsidR="00A97F02" w:rsidRDefault="00630D3A">
      <w:pPr>
        <w:pStyle w:val="af3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无。</w:t>
      </w:r>
    </w:p>
    <w:sectPr w:rsidR="00A9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12BD"/>
    <w:multiLevelType w:val="multilevel"/>
    <w:tmpl w:val="51EF12B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CF649CD"/>
    <w:multiLevelType w:val="multilevel"/>
    <w:tmpl w:val="7CF649C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7A"/>
    <w:rsid w:val="0000455A"/>
    <w:rsid w:val="00022E9B"/>
    <w:rsid w:val="000344AE"/>
    <w:rsid w:val="00054692"/>
    <w:rsid w:val="00055E77"/>
    <w:rsid w:val="00057A3D"/>
    <w:rsid w:val="00074C1D"/>
    <w:rsid w:val="00087AFD"/>
    <w:rsid w:val="000A7D8B"/>
    <w:rsid w:val="000B587A"/>
    <w:rsid w:val="000C1EBA"/>
    <w:rsid w:val="000D22BD"/>
    <w:rsid w:val="000E78C1"/>
    <w:rsid w:val="00110DBC"/>
    <w:rsid w:val="00112BEE"/>
    <w:rsid w:val="00133104"/>
    <w:rsid w:val="00134359"/>
    <w:rsid w:val="00153606"/>
    <w:rsid w:val="00153B4E"/>
    <w:rsid w:val="00163730"/>
    <w:rsid w:val="001718A2"/>
    <w:rsid w:val="00183A48"/>
    <w:rsid w:val="0018502B"/>
    <w:rsid w:val="001A3C86"/>
    <w:rsid w:val="001C1564"/>
    <w:rsid w:val="001C3C86"/>
    <w:rsid w:val="001D35DD"/>
    <w:rsid w:val="001D74E5"/>
    <w:rsid w:val="001E12E1"/>
    <w:rsid w:val="001E33E5"/>
    <w:rsid w:val="001E69AF"/>
    <w:rsid w:val="001F6A0D"/>
    <w:rsid w:val="00203E2A"/>
    <w:rsid w:val="00207534"/>
    <w:rsid w:val="00217FC4"/>
    <w:rsid w:val="00235052"/>
    <w:rsid w:val="0025054E"/>
    <w:rsid w:val="002520A8"/>
    <w:rsid w:val="00255275"/>
    <w:rsid w:val="00260386"/>
    <w:rsid w:val="0027077B"/>
    <w:rsid w:val="002735F7"/>
    <w:rsid w:val="002736A8"/>
    <w:rsid w:val="0027416A"/>
    <w:rsid w:val="002770CA"/>
    <w:rsid w:val="00292C8F"/>
    <w:rsid w:val="002A2093"/>
    <w:rsid w:val="002A5428"/>
    <w:rsid w:val="002D2744"/>
    <w:rsid w:val="002D4B69"/>
    <w:rsid w:val="003019F4"/>
    <w:rsid w:val="00323B5B"/>
    <w:rsid w:val="0033532A"/>
    <w:rsid w:val="00341CE3"/>
    <w:rsid w:val="003502F2"/>
    <w:rsid w:val="0035538D"/>
    <w:rsid w:val="0038247D"/>
    <w:rsid w:val="00382928"/>
    <w:rsid w:val="00384E7E"/>
    <w:rsid w:val="00394725"/>
    <w:rsid w:val="003A5F00"/>
    <w:rsid w:val="003E3A47"/>
    <w:rsid w:val="003E6679"/>
    <w:rsid w:val="004018E7"/>
    <w:rsid w:val="004032D4"/>
    <w:rsid w:val="00407550"/>
    <w:rsid w:val="004465FC"/>
    <w:rsid w:val="004552C0"/>
    <w:rsid w:val="00464AA1"/>
    <w:rsid w:val="00471205"/>
    <w:rsid w:val="00472229"/>
    <w:rsid w:val="00474685"/>
    <w:rsid w:val="004A2838"/>
    <w:rsid w:val="004B12C0"/>
    <w:rsid w:val="004B7A5F"/>
    <w:rsid w:val="004C29EA"/>
    <w:rsid w:val="004E1F46"/>
    <w:rsid w:val="004E731E"/>
    <w:rsid w:val="00503751"/>
    <w:rsid w:val="00512C89"/>
    <w:rsid w:val="00512EFE"/>
    <w:rsid w:val="00515884"/>
    <w:rsid w:val="0052036F"/>
    <w:rsid w:val="00533822"/>
    <w:rsid w:val="00534221"/>
    <w:rsid w:val="00540CCE"/>
    <w:rsid w:val="00541EF6"/>
    <w:rsid w:val="00552579"/>
    <w:rsid w:val="00555727"/>
    <w:rsid w:val="00562E73"/>
    <w:rsid w:val="00583AEF"/>
    <w:rsid w:val="00587B45"/>
    <w:rsid w:val="00594EA9"/>
    <w:rsid w:val="005E15BA"/>
    <w:rsid w:val="00607B72"/>
    <w:rsid w:val="0061072D"/>
    <w:rsid w:val="0062282B"/>
    <w:rsid w:val="00630D3A"/>
    <w:rsid w:val="00634531"/>
    <w:rsid w:val="00643995"/>
    <w:rsid w:val="006524A0"/>
    <w:rsid w:val="0065291A"/>
    <w:rsid w:val="00655EE6"/>
    <w:rsid w:val="006741D7"/>
    <w:rsid w:val="00694C78"/>
    <w:rsid w:val="006B7608"/>
    <w:rsid w:val="006E0A1F"/>
    <w:rsid w:val="006F60D4"/>
    <w:rsid w:val="007000C1"/>
    <w:rsid w:val="00734833"/>
    <w:rsid w:val="00746109"/>
    <w:rsid w:val="00747D2C"/>
    <w:rsid w:val="00747F87"/>
    <w:rsid w:val="00755B4B"/>
    <w:rsid w:val="007625D5"/>
    <w:rsid w:val="00792A1A"/>
    <w:rsid w:val="00797BF4"/>
    <w:rsid w:val="007B4E1E"/>
    <w:rsid w:val="007D0557"/>
    <w:rsid w:val="007E5209"/>
    <w:rsid w:val="00801390"/>
    <w:rsid w:val="008049AE"/>
    <w:rsid w:val="00824F2C"/>
    <w:rsid w:val="00833532"/>
    <w:rsid w:val="008B1434"/>
    <w:rsid w:val="008E3AA0"/>
    <w:rsid w:val="008F5CFD"/>
    <w:rsid w:val="008F633F"/>
    <w:rsid w:val="00910056"/>
    <w:rsid w:val="00922680"/>
    <w:rsid w:val="00947DB8"/>
    <w:rsid w:val="00954947"/>
    <w:rsid w:val="00966A1E"/>
    <w:rsid w:val="009A6A6B"/>
    <w:rsid w:val="009A6BFF"/>
    <w:rsid w:val="009B2383"/>
    <w:rsid w:val="009E0960"/>
    <w:rsid w:val="009E1FD1"/>
    <w:rsid w:val="009F3625"/>
    <w:rsid w:val="009F637D"/>
    <w:rsid w:val="00A055A2"/>
    <w:rsid w:val="00A1110D"/>
    <w:rsid w:val="00A11545"/>
    <w:rsid w:val="00A220B6"/>
    <w:rsid w:val="00A26D57"/>
    <w:rsid w:val="00A44138"/>
    <w:rsid w:val="00A46F90"/>
    <w:rsid w:val="00A47D22"/>
    <w:rsid w:val="00A522C4"/>
    <w:rsid w:val="00A54995"/>
    <w:rsid w:val="00A6641F"/>
    <w:rsid w:val="00A94A20"/>
    <w:rsid w:val="00A97694"/>
    <w:rsid w:val="00A97F02"/>
    <w:rsid w:val="00AA7428"/>
    <w:rsid w:val="00AA7CBC"/>
    <w:rsid w:val="00AE6FAA"/>
    <w:rsid w:val="00AF182E"/>
    <w:rsid w:val="00AF6EA1"/>
    <w:rsid w:val="00B03E33"/>
    <w:rsid w:val="00B17993"/>
    <w:rsid w:val="00B26D7C"/>
    <w:rsid w:val="00B27E01"/>
    <w:rsid w:val="00B32214"/>
    <w:rsid w:val="00B36B7C"/>
    <w:rsid w:val="00B43F05"/>
    <w:rsid w:val="00B655E9"/>
    <w:rsid w:val="00B711B9"/>
    <w:rsid w:val="00B76148"/>
    <w:rsid w:val="00B769C3"/>
    <w:rsid w:val="00B77B73"/>
    <w:rsid w:val="00B87083"/>
    <w:rsid w:val="00B94F99"/>
    <w:rsid w:val="00BA46BF"/>
    <w:rsid w:val="00BB1FE1"/>
    <w:rsid w:val="00BB28BB"/>
    <w:rsid w:val="00BB68E1"/>
    <w:rsid w:val="00BC7B69"/>
    <w:rsid w:val="00BE2556"/>
    <w:rsid w:val="00C115C2"/>
    <w:rsid w:val="00C157A2"/>
    <w:rsid w:val="00C25169"/>
    <w:rsid w:val="00C30197"/>
    <w:rsid w:val="00C36B06"/>
    <w:rsid w:val="00C533BE"/>
    <w:rsid w:val="00C74DF6"/>
    <w:rsid w:val="00CB0AF5"/>
    <w:rsid w:val="00CB0E01"/>
    <w:rsid w:val="00CB76E4"/>
    <w:rsid w:val="00CC4F04"/>
    <w:rsid w:val="00CD652F"/>
    <w:rsid w:val="00CE4C50"/>
    <w:rsid w:val="00CF5017"/>
    <w:rsid w:val="00CF6D76"/>
    <w:rsid w:val="00D11CE4"/>
    <w:rsid w:val="00D1411F"/>
    <w:rsid w:val="00D20B9F"/>
    <w:rsid w:val="00D327C2"/>
    <w:rsid w:val="00D44F4F"/>
    <w:rsid w:val="00D533E1"/>
    <w:rsid w:val="00D608FE"/>
    <w:rsid w:val="00D6452E"/>
    <w:rsid w:val="00D752FA"/>
    <w:rsid w:val="00D85DB2"/>
    <w:rsid w:val="00D962BF"/>
    <w:rsid w:val="00DA1F6F"/>
    <w:rsid w:val="00DF5167"/>
    <w:rsid w:val="00DF7DFB"/>
    <w:rsid w:val="00E22E5B"/>
    <w:rsid w:val="00E25DD8"/>
    <w:rsid w:val="00E37D2E"/>
    <w:rsid w:val="00E4181E"/>
    <w:rsid w:val="00E41CB0"/>
    <w:rsid w:val="00E5134B"/>
    <w:rsid w:val="00E76275"/>
    <w:rsid w:val="00EA0050"/>
    <w:rsid w:val="00EC2ABD"/>
    <w:rsid w:val="00EC4863"/>
    <w:rsid w:val="00EF5BFC"/>
    <w:rsid w:val="00F113A0"/>
    <w:rsid w:val="00F13507"/>
    <w:rsid w:val="00F16216"/>
    <w:rsid w:val="00F265DD"/>
    <w:rsid w:val="00F73D2B"/>
    <w:rsid w:val="00F84BBC"/>
    <w:rsid w:val="00F864A3"/>
    <w:rsid w:val="00F965F5"/>
    <w:rsid w:val="00FA40F1"/>
    <w:rsid w:val="00FB1C71"/>
    <w:rsid w:val="00FB1D73"/>
    <w:rsid w:val="00FD3C68"/>
    <w:rsid w:val="00FE530D"/>
    <w:rsid w:val="00FF354F"/>
    <w:rsid w:val="019465C9"/>
    <w:rsid w:val="071F1DFE"/>
    <w:rsid w:val="112505EE"/>
    <w:rsid w:val="13FB2EF8"/>
    <w:rsid w:val="170138CB"/>
    <w:rsid w:val="17094BF6"/>
    <w:rsid w:val="175321FB"/>
    <w:rsid w:val="185B6C87"/>
    <w:rsid w:val="1B533FCF"/>
    <w:rsid w:val="210963A0"/>
    <w:rsid w:val="236750C6"/>
    <w:rsid w:val="24132439"/>
    <w:rsid w:val="2B26644B"/>
    <w:rsid w:val="2BD84D81"/>
    <w:rsid w:val="33B76257"/>
    <w:rsid w:val="340D1D52"/>
    <w:rsid w:val="348D48EC"/>
    <w:rsid w:val="3591606A"/>
    <w:rsid w:val="366D4D95"/>
    <w:rsid w:val="3A014AF5"/>
    <w:rsid w:val="3E112395"/>
    <w:rsid w:val="41E2583B"/>
    <w:rsid w:val="43F860E9"/>
    <w:rsid w:val="4F1A607D"/>
    <w:rsid w:val="57F760AB"/>
    <w:rsid w:val="59F000AE"/>
    <w:rsid w:val="64A7464C"/>
    <w:rsid w:val="67CA52FA"/>
    <w:rsid w:val="6E8506DA"/>
    <w:rsid w:val="6FCC0A25"/>
    <w:rsid w:val="730114EA"/>
    <w:rsid w:val="74040B29"/>
    <w:rsid w:val="7F1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D815"/>
  <w15:docId w15:val="{E628D50D-F734-49D6-B8F5-FCC5B6FE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FollowedHyperlink"/>
    <w:basedOn w:val="a0"/>
    <w:uiPriority w:val="99"/>
    <w:semiHidden/>
    <w:unhideWhenUsed/>
    <w:rPr>
      <w:color w:val="323232"/>
      <w:u w:val="none"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gray">
    <w:name w:val="gray"/>
    <w:basedOn w:val="a0"/>
  </w:style>
  <w:style w:type="character" w:customStyle="1" w:styleId="mini-button-allow4">
    <w:name w:val="mini-button-allow4"/>
    <w:basedOn w:val="a0"/>
    <w:qFormat/>
  </w:style>
  <w:style w:type="character" w:customStyle="1" w:styleId="hover22">
    <w:name w:val="hover22"/>
    <w:basedOn w:val="a0"/>
  </w:style>
  <w:style w:type="character" w:customStyle="1" w:styleId="hover23">
    <w:name w:val="hover23"/>
    <w:basedOn w:val="a0"/>
  </w:style>
  <w:style w:type="character" w:customStyle="1" w:styleId="jilushu">
    <w:name w:val="jilushu"/>
    <w:basedOn w:val="a0"/>
  </w:style>
  <w:style w:type="character" w:customStyle="1" w:styleId="active">
    <w:name w:val="active"/>
    <w:basedOn w:val="a0"/>
    <w:rPr>
      <w:shd w:val="clear" w:color="auto" w:fill="F6F6F6"/>
    </w:rPr>
  </w:style>
  <w:style w:type="character" w:customStyle="1" w:styleId="before">
    <w:name w:val="before"/>
    <w:basedOn w:val="a0"/>
    <w:qFormat/>
  </w:style>
  <w:style w:type="character" w:customStyle="1" w:styleId="before1">
    <w:name w:val="before1"/>
    <w:basedOn w:val="a0"/>
  </w:style>
  <w:style w:type="character" w:customStyle="1" w:styleId="button2">
    <w:name w:val="button2"/>
    <w:basedOn w:val="a0"/>
  </w:style>
  <w:style w:type="character" w:customStyle="1" w:styleId="tmpztreemovearrow">
    <w:name w:val="tmpztreemove_arrow"/>
    <w:basedOn w:val="a0"/>
  </w:style>
  <w:style w:type="character" w:customStyle="1" w:styleId="sp-thumb-active">
    <w:name w:val="sp-thumb-active"/>
    <w:basedOn w:val="a0"/>
    <w:qFormat/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zhengjie</dc:creator>
  <cp:lastModifiedBy>施继民</cp:lastModifiedBy>
  <cp:revision>59</cp:revision>
  <dcterms:created xsi:type="dcterms:W3CDTF">2022-08-16T03:16:00Z</dcterms:created>
  <dcterms:modified xsi:type="dcterms:W3CDTF">2025-08-20T03:22:00Z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